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D7088" w14:textId="6F7636F7" w:rsidR="00883445" w:rsidRDefault="00883445" w:rsidP="00C0669B">
      <w:pPr>
        <w:jc w:val="both"/>
      </w:pPr>
      <w:r>
        <w:t xml:space="preserve">GRADSKO VIJEĆE GRADA VALPOVA na </w:t>
      </w:r>
      <w:r w:rsidR="006321DB">
        <w:t>__</w:t>
      </w:r>
      <w:r>
        <w:t xml:space="preserve">. sjednici, održanoj </w:t>
      </w:r>
      <w:r w:rsidR="006321DB">
        <w:t>__</w:t>
      </w:r>
      <w:r>
        <w:t xml:space="preserve">. </w:t>
      </w:r>
      <w:r w:rsidR="0040242A">
        <w:t>prosinca</w:t>
      </w:r>
      <w:r>
        <w:t xml:space="preserve"> 20</w:t>
      </w:r>
      <w:r w:rsidR="00EC0B5A">
        <w:t>2</w:t>
      </w:r>
      <w:r w:rsidR="0040242A">
        <w:t>4</w:t>
      </w:r>
      <w:r>
        <w:t>.</w:t>
      </w:r>
      <w:r w:rsidR="00C0669B">
        <w:t xml:space="preserve"> </w:t>
      </w:r>
      <w:r>
        <w:t xml:space="preserve">godine, temeljem članka </w:t>
      </w:r>
      <w:r w:rsidR="001D1190">
        <w:t xml:space="preserve">18. </w:t>
      </w:r>
      <w:r>
        <w:t xml:space="preserve">Zakona o proračunu („Narodne novine“ br. </w:t>
      </w:r>
      <w:r w:rsidR="001D1190">
        <w:t>144/21</w:t>
      </w:r>
      <w:r>
        <w:t>) i članka 1</w:t>
      </w:r>
      <w:r w:rsidR="00593920">
        <w:t>7</w:t>
      </w:r>
      <w:r>
        <w:t xml:space="preserve">. točke 5. Statuta Grada Valpova („Sl. glasnik Grada Valpova“ </w:t>
      </w:r>
      <w:r w:rsidR="00593920">
        <w:t>1</w:t>
      </w:r>
      <w:r w:rsidR="0011502B">
        <w:t>2/2</w:t>
      </w:r>
      <w:r w:rsidR="00593920">
        <w:t>2</w:t>
      </w:r>
      <w:r>
        <w:t>), donijelo je</w:t>
      </w:r>
    </w:p>
    <w:p w14:paraId="2F92F729" w14:textId="77777777" w:rsidR="00C0669B" w:rsidRDefault="00883445" w:rsidP="00C0669B">
      <w:pPr>
        <w:jc w:val="center"/>
      </w:pPr>
      <w:r>
        <w:t>O D L U K U</w:t>
      </w:r>
    </w:p>
    <w:p w14:paraId="3420ACFF" w14:textId="5584E44D" w:rsidR="00883445" w:rsidRDefault="00883445" w:rsidP="00C0669B">
      <w:pPr>
        <w:jc w:val="center"/>
      </w:pPr>
      <w:r>
        <w:t>o izvršavanju Proračuna Grada Valpova</w:t>
      </w:r>
      <w:r w:rsidR="00C0669B">
        <w:t xml:space="preserve"> </w:t>
      </w:r>
      <w:r>
        <w:t>za 20</w:t>
      </w:r>
      <w:r w:rsidR="00593920">
        <w:t>2</w:t>
      </w:r>
      <w:r w:rsidR="009F1D19">
        <w:t>5</w:t>
      </w:r>
      <w:r>
        <w:t>. godinu</w:t>
      </w:r>
    </w:p>
    <w:p w14:paraId="649988F4" w14:textId="77777777" w:rsidR="00883445" w:rsidRDefault="00883445" w:rsidP="00C0669B">
      <w:pPr>
        <w:jc w:val="center"/>
      </w:pPr>
      <w:r>
        <w:t>I OPĆE ODREDBE</w:t>
      </w:r>
    </w:p>
    <w:p w14:paraId="7127DC11" w14:textId="77777777" w:rsidR="00883445" w:rsidRDefault="00883445" w:rsidP="00C0669B">
      <w:pPr>
        <w:jc w:val="center"/>
      </w:pPr>
      <w:r>
        <w:t>Članak 1.</w:t>
      </w:r>
    </w:p>
    <w:p w14:paraId="213279CE" w14:textId="7B3FEDCB" w:rsidR="00883445" w:rsidRDefault="00883445" w:rsidP="00C0669B">
      <w:pPr>
        <w:jc w:val="both"/>
      </w:pPr>
      <w:r>
        <w:t>Ovom Odlukom uređuje se struktura prihoda i primitaka, te rashoda i izdataka Proračuna</w:t>
      </w:r>
      <w:r w:rsidR="00C0669B">
        <w:t xml:space="preserve"> </w:t>
      </w:r>
      <w:r>
        <w:t>G</w:t>
      </w:r>
      <w:r w:rsidR="00E33825">
        <w:t>rada Valpova za 202</w:t>
      </w:r>
      <w:r w:rsidR="0040242A">
        <w:t>5</w:t>
      </w:r>
      <w:r>
        <w:t>. godinu (u daljnjem tekstu: Proračun), njegovo izvršavanje, opseg</w:t>
      </w:r>
      <w:r w:rsidR="00C0669B">
        <w:t xml:space="preserve"> </w:t>
      </w:r>
      <w:r>
        <w:t>zaduživanja i jamstava Grada Valpova (u daljnjem tekstu: Grad), upravljanje dugom, te</w:t>
      </w:r>
      <w:r w:rsidR="00C0669B">
        <w:t xml:space="preserve"> </w:t>
      </w:r>
      <w:r>
        <w:t>financijskom i nefinancijskom imovinom, prava i obveze korisnika proračunskih sredstava,</w:t>
      </w:r>
      <w:r w:rsidR="00C0669B">
        <w:t xml:space="preserve"> </w:t>
      </w:r>
      <w:r>
        <w:t>ovlasti Gradonačelnika Grada Valpova (u daljnjem tekstu: Gradonačelnik) u izvršavanju</w:t>
      </w:r>
      <w:r w:rsidR="00C0669B">
        <w:t xml:space="preserve"> </w:t>
      </w:r>
      <w:r>
        <w:t>Proračuna, te druga pitanja u izvršavanju Proračuna.</w:t>
      </w:r>
    </w:p>
    <w:p w14:paraId="2877909B" w14:textId="77777777" w:rsidR="00883445" w:rsidRDefault="00883445" w:rsidP="00C0669B">
      <w:pPr>
        <w:jc w:val="center"/>
      </w:pPr>
      <w:r>
        <w:t>II STRUKTURA PRORAČUNA</w:t>
      </w:r>
    </w:p>
    <w:p w14:paraId="0DF349B4" w14:textId="77777777" w:rsidR="00883445" w:rsidRDefault="00883445" w:rsidP="00C0669B">
      <w:pPr>
        <w:jc w:val="center"/>
      </w:pPr>
      <w:r>
        <w:t>Članak 2.</w:t>
      </w:r>
    </w:p>
    <w:p w14:paraId="693289FD" w14:textId="252B163E" w:rsidR="001D1190" w:rsidRDefault="001D1190" w:rsidP="001D1190">
      <w:pPr>
        <w:jc w:val="both"/>
      </w:pPr>
      <w:r>
        <w:t>Proračun Grada Valpova sastoji se od Općeg i Posebnog dijela, te Obrazloženja proračuna.</w:t>
      </w:r>
    </w:p>
    <w:p w14:paraId="6220394E" w14:textId="587B4558" w:rsidR="00883445" w:rsidRDefault="001D1190" w:rsidP="001D1190">
      <w:pPr>
        <w:jc w:val="both"/>
      </w:pPr>
      <w:r>
        <w:t>Opći dio Proračuna sastoji se od Sažetka Računa prihoda i rashoda, Sažetka Računa financiranja, Računa prihoda i rashoda, Računa financiranja, Prenesenog manjk</w:t>
      </w:r>
      <w:r w:rsidR="002E00B0">
        <w:t>a</w:t>
      </w:r>
      <w:r>
        <w:t xml:space="preserve"> prihoda nad rashodima te Višegodišnjeg plana uravnoteženja. </w:t>
      </w:r>
      <w:r w:rsidR="00883445">
        <w:t>Posebni dio Proračuna sastoji se od plana rashoda i izdataka proračunskih korisnika</w:t>
      </w:r>
      <w:r w:rsidR="004329F4">
        <w:t xml:space="preserve"> </w:t>
      </w:r>
      <w:r w:rsidR="00883445">
        <w:t>iskazanih po vrstama raspoređenih u programe koji se sastoje od aktivnosti i projekata.</w:t>
      </w:r>
    </w:p>
    <w:p w14:paraId="094348C5" w14:textId="77777777" w:rsidR="00883445" w:rsidRDefault="00883445" w:rsidP="00F44B4C">
      <w:pPr>
        <w:jc w:val="both"/>
      </w:pPr>
      <w:r>
        <w:t>Proračunska sredstva koristit će se samo za namjene koje su određene Proračunom i do</w:t>
      </w:r>
      <w:r w:rsidR="00F44B4C">
        <w:t xml:space="preserve"> </w:t>
      </w:r>
      <w:r>
        <w:t>visine utvrđene u Posebnom dijelu Proračuna.</w:t>
      </w:r>
    </w:p>
    <w:p w14:paraId="754B6276" w14:textId="77777777" w:rsidR="00883445" w:rsidRDefault="00883445" w:rsidP="00F44B4C">
      <w:pPr>
        <w:jc w:val="both"/>
      </w:pPr>
      <w:r>
        <w:t>Rashodi i izdaci proračuna za koje se koriste namjenski prihodi i primici, te prihodi iz</w:t>
      </w:r>
      <w:r w:rsidR="00F44B4C">
        <w:t xml:space="preserve"> </w:t>
      </w:r>
      <w:r>
        <w:t xml:space="preserve">pomoći, </w:t>
      </w:r>
      <w:r w:rsidR="00F44B4C">
        <w:t>i</w:t>
      </w:r>
      <w:r>
        <w:t>zvršavat će se do iznosa naplaćenih prihoda i primitaka za te namjene.</w:t>
      </w:r>
    </w:p>
    <w:p w14:paraId="680D5235" w14:textId="77777777" w:rsidR="00883445" w:rsidRDefault="00883445" w:rsidP="00F44B4C">
      <w:pPr>
        <w:jc w:val="both"/>
      </w:pPr>
      <w:r>
        <w:t>Iznimno od odredbi iz stavka 4. ovog članka, Gradonačelnik može odlučiti da se pojedini</w:t>
      </w:r>
      <w:r w:rsidR="00F44B4C">
        <w:t xml:space="preserve"> </w:t>
      </w:r>
      <w:r>
        <w:t>rashodi i izdaci pokrivaju na teret ostalih proračunskih prihoda, ali najviše do planiranih iznosa.</w:t>
      </w:r>
    </w:p>
    <w:p w14:paraId="6217B982" w14:textId="77777777" w:rsidR="00883445" w:rsidRDefault="00883445" w:rsidP="00F44B4C">
      <w:pPr>
        <w:jc w:val="center"/>
      </w:pPr>
      <w:r>
        <w:t xml:space="preserve">Članak </w:t>
      </w:r>
      <w:r w:rsidR="00EC0B5A">
        <w:t>3</w:t>
      </w:r>
      <w:r>
        <w:t>.</w:t>
      </w:r>
    </w:p>
    <w:p w14:paraId="43348C8A" w14:textId="77777777" w:rsidR="00883445" w:rsidRDefault="00883445" w:rsidP="00F44B4C">
      <w:pPr>
        <w:jc w:val="both"/>
      </w:pPr>
      <w:r>
        <w:t>Sredstva se u Proračunu osiguravaju proračunskim k</w:t>
      </w:r>
      <w:r w:rsidR="00E33825">
        <w:t>orisnicima (u daljnjem tekstu: K</w:t>
      </w:r>
      <w:r>
        <w:t>orisnici)</w:t>
      </w:r>
      <w:r w:rsidR="00F44B4C">
        <w:t xml:space="preserve"> </w:t>
      </w:r>
      <w:r>
        <w:t>koji su u njegovu Posebnom dijelu određeni za nositelje sredstava na pojedinim stavkama.</w:t>
      </w:r>
    </w:p>
    <w:p w14:paraId="52005B94" w14:textId="77777777" w:rsidR="00883445" w:rsidRDefault="00883445" w:rsidP="00F44B4C">
      <w:pPr>
        <w:jc w:val="both"/>
      </w:pPr>
      <w:r>
        <w:t>Proračunskim korisnicima sredstva se doznačuju mjesečno na temelju mjesečnih</w:t>
      </w:r>
      <w:r w:rsidR="00F44B4C">
        <w:t xml:space="preserve"> </w:t>
      </w:r>
      <w:r>
        <w:t>proračunskih odobrenja prema njihovim zahtjevima i u skladu s raspoloživim sredstvima. Sredstva</w:t>
      </w:r>
      <w:r w:rsidR="00F44B4C">
        <w:t xml:space="preserve"> </w:t>
      </w:r>
      <w:r>
        <w:t>korisnici smiju koristiti samo za namjene i do visine određene proračunom.</w:t>
      </w:r>
    </w:p>
    <w:p w14:paraId="72C6279C" w14:textId="77777777" w:rsidR="00883445" w:rsidRDefault="00883445" w:rsidP="00F44B4C">
      <w:pPr>
        <w:jc w:val="both"/>
      </w:pPr>
      <w:r>
        <w:t>Proračunski korisnici smiju preuzimati obveze najviše do visine sredstava osiguranih u</w:t>
      </w:r>
      <w:r w:rsidR="00F44B4C">
        <w:t xml:space="preserve"> </w:t>
      </w:r>
      <w:r>
        <w:t>Posebnom dijelu Proračuna, ako je njihovo izvršavanje usklađeno s mjesečnom proračunskom</w:t>
      </w:r>
      <w:r w:rsidR="00F44B4C">
        <w:t xml:space="preserve"> </w:t>
      </w:r>
      <w:r>
        <w:t>dodjelom.</w:t>
      </w:r>
    </w:p>
    <w:p w14:paraId="36EA8CA0" w14:textId="77777777" w:rsidR="00883445" w:rsidRDefault="00883445" w:rsidP="00F44B4C">
      <w:pPr>
        <w:jc w:val="both"/>
      </w:pPr>
      <w:r>
        <w:t>Iznimno, zbog neusklađenog priljeva sredstava u Proračun s mjesečnim planovima rashoda</w:t>
      </w:r>
      <w:r w:rsidR="00F44B4C">
        <w:t xml:space="preserve"> </w:t>
      </w:r>
      <w:r>
        <w:t>i izdataka, Služba za financije i proračun može izmijeniti dinamiku doznake sredstava pojedinim</w:t>
      </w:r>
      <w:r w:rsidR="00F44B4C">
        <w:t xml:space="preserve"> </w:t>
      </w:r>
      <w:r>
        <w:t>korisnicima.</w:t>
      </w:r>
    </w:p>
    <w:p w14:paraId="0E88EEA7" w14:textId="77777777" w:rsidR="001D1190" w:rsidRDefault="001D1190" w:rsidP="00F44B4C">
      <w:pPr>
        <w:jc w:val="center"/>
      </w:pPr>
    </w:p>
    <w:p w14:paraId="5F21A0D4" w14:textId="1FE425C0" w:rsidR="00883445" w:rsidRDefault="00883445" w:rsidP="00F44B4C">
      <w:pPr>
        <w:jc w:val="center"/>
      </w:pPr>
      <w:r>
        <w:lastRenderedPageBreak/>
        <w:t xml:space="preserve">Članak </w:t>
      </w:r>
      <w:r w:rsidR="00EC0B5A">
        <w:t>4</w:t>
      </w:r>
      <w:r>
        <w:t>.</w:t>
      </w:r>
    </w:p>
    <w:p w14:paraId="2823C287" w14:textId="77777777" w:rsidR="00883445" w:rsidRDefault="00883445" w:rsidP="00F44B4C">
      <w:pPr>
        <w:jc w:val="both"/>
      </w:pPr>
      <w:r>
        <w:t>Prihodi i primici koje ostvare korisnici Proračuna obavljanjem osnovne i ostalih djelatnosti,</w:t>
      </w:r>
      <w:r w:rsidR="00F44B4C">
        <w:t xml:space="preserve"> </w:t>
      </w:r>
      <w:r>
        <w:t>kao i od namjenskih prihoda i primitaka, uplaćuju se na njihove žiro-račune i koriste prema</w:t>
      </w:r>
      <w:r w:rsidR="00F44B4C">
        <w:t xml:space="preserve"> </w:t>
      </w:r>
      <w:r>
        <w:t>njihovim</w:t>
      </w:r>
      <w:r w:rsidR="00F44B4C">
        <w:t xml:space="preserve"> </w:t>
      </w:r>
      <w:r>
        <w:t>financijskim planovima.</w:t>
      </w:r>
    </w:p>
    <w:p w14:paraId="7EEA82E4" w14:textId="77777777" w:rsidR="00883445" w:rsidRDefault="00883445" w:rsidP="00F44B4C">
      <w:pPr>
        <w:jc w:val="center"/>
      </w:pPr>
      <w:r>
        <w:t xml:space="preserve">Članak </w:t>
      </w:r>
      <w:r w:rsidR="00EC0B5A">
        <w:t>5</w:t>
      </w:r>
      <w:r>
        <w:t>.</w:t>
      </w:r>
    </w:p>
    <w:p w14:paraId="05AC5A78" w14:textId="77777777" w:rsidR="00883445" w:rsidRDefault="00883445" w:rsidP="00F44B4C">
      <w:pPr>
        <w:jc w:val="both"/>
      </w:pPr>
      <w:r>
        <w:t>Ukoliko se prihodi Proračuna ne naplaćuju u planiranim svotama i planiranoj dinamici</w:t>
      </w:r>
      <w:r w:rsidR="00F44B4C">
        <w:t xml:space="preserve"> </w:t>
      </w:r>
      <w:r>
        <w:t>tijekom godine, prednost u podmirenju rashoda i izdataka imat</w:t>
      </w:r>
      <w:r w:rsidR="00E33825">
        <w:t>i</w:t>
      </w:r>
      <w:r>
        <w:t xml:space="preserve"> će tekuće otplate kredita (glavnica</w:t>
      </w:r>
      <w:r w:rsidR="00F44B4C">
        <w:t xml:space="preserve"> </w:t>
      </w:r>
      <w:r>
        <w:t>i kamate), i sredstva za redovnu djelatnost Gradske uprave i drugih proračunskih korisnika, te</w:t>
      </w:r>
      <w:r w:rsidR="00F44B4C">
        <w:t xml:space="preserve"> </w:t>
      </w:r>
      <w:r>
        <w:t>rashodi i izdaci preneseni kao proračunski manjak iz prethodne godine.</w:t>
      </w:r>
    </w:p>
    <w:p w14:paraId="401767F7" w14:textId="77777777" w:rsidR="00883445" w:rsidRDefault="00883445" w:rsidP="00F44B4C">
      <w:pPr>
        <w:jc w:val="center"/>
      </w:pPr>
      <w:r>
        <w:t xml:space="preserve">Članak </w:t>
      </w:r>
      <w:r w:rsidR="00EC0B5A">
        <w:t>6</w:t>
      </w:r>
      <w:r>
        <w:t>.</w:t>
      </w:r>
    </w:p>
    <w:p w14:paraId="5CFC3550" w14:textId="77777777" w:rsidR="00883445" w:rsidRDefault="00883445" w:rsidP="00F44B4C">
      <w:pPr>
        <w:jc w:val="both"/>
      </w:pPr>
      <w:r>
        <w:t>Ako tijekom godine dođe do neusklađenosti između planiranih prihoda i primitaka, i</w:t>
      </w:r>
      <w:r w:rsidR="00F44B4C">
        <w:t xml:space="preserve"> </w:t>
      </w:r>
      <w:r>
        <w:t>rashoda i izdataka Proračuna, predložit će se Gradskom vijeću donošenje njegovih izmjena i</w:t>
      </w:r>
      <w:r w:rsidR="00F44B4C">
        <w:t xml:space="preserve"> </w:t>
      </w:r>
      <w:r>
        <w:t>dopuna.</w:t>
      </w:r>
    </w:p>
    <w:p w14:paraId="52961BF2" w14:textId="49ECF04E" w:rsidR="00883445" w:rsidRDefault="00883445" w:rsidP="00F44B4C">
      <w:pPr>
        <w:jc w:val="both"/>
      </w:pPr>
      <w:r>
        <w:t xml:space="preserve">Gradonačelnik može izvršiti </w:t>
      </w:r>
      <w:r w:rsidR="00832EFA">
        <w:t xml:space="preserve">preraspodjelu rashoda i izdataka proračuna sukladno članku 60. Zakona o proračunu („Narodne novine“ br. 144/21) </w:t>
      </w:r>
      <w:r w:rsidR="001242F4">
        <w:t>.</w:t>
      </w:r>
    </w:p>
    <w:p w14:paraId="63BB039B" w14:textId="77777777" w:rsidR="00883445" w:rsidRDefault="00883445" w:rsidP="001242F4">
      <w:pPr>
        <w:jc w:val="both"/>
      </w:pPr>
      <w:r>
        <w:t>O izvršenim preraspodjelama na temelju stavka 2. ovog članka, Gradonačelnik je obvezan</w:t>
      </w:r>
      <w:r w:rsidR="001242F4">
        <w:t xml:space="preserve"> </w:t>
      </w:r>
      <w:r>
        <w:t>izvijestiti Gradsko vijeće u sklopu redovnog izvještavanja.</w:t>
      </w:r>
    </w:p>
    <w:p w14:paraId="18863258" w14:textId="77777777" w:rsidR="00883445" w:rsidRDefault="00883445" w:rsidP="001242F4">
      <w:pPr>
        <w:jc w:val="center"/>
      </w:pPr>
      <w:r>
        <w:t xml:space="preserve">Članak </w:t>
      </w:r>
      <w:r w:rsidR="00EC0B5A">
        <w:t>7</w:t>
      </w:r>
      <w:r>
        <w:t>.</w:t>
      </w:r>
    </w:p>
    <w:p w14:paraId="6F46160F" w14:textId="77777777" w:rsidR="00883445" w:rsidRDefault="00883445" w:rsidP="00883445">
      <w:r>
        <w:t>Naredbodavac i odgovorna osoba za izvršavanje Proračuna u cjelini je Gradonačelnik.</w:t>
      </w:r>
    </w:p>
    <w:p w14:paraId="6EC93136" w14:textId="77777777" w:rsidR="001242F4" w:rsidRDefault="00883445" w:rsidP="001242F4">
      <w:pPr>
        <w:jc w:val="both"/>
      </w:pPr>
      <w:r>
        <w:t>Rashodi Proračuna koji nisu analitički razrađeni, odnosno kojima nije određen krajnji</w:t>
      </w:r>
      <w:r w:rsidR="001242F4">
        <w:t xml:space="preserve"> </w:t>
      </w:r>
      <w:r>
        <w:t xml:space="preserve">korisnik u Posebnom dijelu Proračuna, programu javnih potreba ili drugom aktu Gradskog vijeća </w:t>
      </w:r>
      <w:r w:rsidR="001242F4">
        <w:t>Grada Valpova (posebno kod tekućih i kapitalnih donacija, pomoći obiteljima i kućanstvima), izvršavati će se temeljem odluke Gradonačelnika</w:t>
      </w:r>
      <w:r w:rsidR="006321DB">
        <w:t xml:space="preserve"> </w:t>
      </w:r>
      <w:r w:rsidR="001242F4">
        <w:t>Grada Valpova (posebno kod tekućih i kapitalnih donacija, pomoći obiteljima i kućanstvima</w:t>
      </w:r>
      <w:r w:rsidR="00EC0B5A">
        <w:t>)</w:t>
      </w:r>
      <w:r w:rsidR="001242F4">
        <w:t>.</w:t>
      </w:r>
    </w:p>
    <w:p w14:paraId="3771D6E2" w14:textId="77777777" w:rsidR="001242F4" w:rsidRDefault="001242F4" w:rsidP="001242F4">
      <w:pPr>
        <w:jc w:val="both"/>
      </w:pPr>
      <w:r>
        <w:t xml:space="preserve">Pročelnici upravnih odjela odgovorni su </w:t>
      </w:r>
      <w:r w:rsidR="0011502B">
        <w:t xml:space="preserve">Gradonačelniku </w:t>
      </w:r>
      <w:r>
        <w:t xml:space="preserve">za planiranje i izvršavanje dijela Proračuna iz svog djelokruga rada, kao i za zakonito, učinkovito i ekonomično raspolaganje sredstvima u Proračunu. </w:t>
      </w:r>
    </w:p>
    <w:p w14:paraId="254D7618" w14:textId="77777777" w:rsidR="001242F4" w:rsidRDefault="001242F4" w:rsidP="001242F4">
      <w:pPr>
        <w:jc w:val="center"/>
      </w:pPr>
      <w:r>
        <w:t xml:space="preserve">Članak </w:t>
      </w:r>
      <w:r w:rsidR="00EC0B5A">
        <w:t>8</w:t>
      </w:r>
      <w:r>
        <w:t>.</w:t>
      </w:r>
    </w:p>
    <w:p w14:paraId="27B82FF7" w14:textId="77777777" w:rsidR="001242F4" w:rsidRDefault="001242F4" w:rsidP="001242F4">
      <w:pPr>
        <w:jc w:val="both"/>
      </w:pPr>
      <w:r>
        <w:t>Svaki rashod i izdatak iz Proračuna mora se temeljiti na vjerodostojnoj knjigovodstvenoj ispravi kojom se dokazuje obveza plaćanja.</w:t>
      </w:r>
    </w:p>
    <w:p w14:paraId="6014E7E0" w14:textId="0C2023E1" w:rsidR="001242F4" w:rsidRDefault="001242F4" w:rsidP="001242F4">
      <w:pPr>
        <w:jc w:val="both"/>
      </w:pPr>
      <w:r>
        <w:t>Pročelnici upravnih odjela Grada moraju prije isplate provjeriti i na nalogu za isplatu potvrditi pravni temelj i visinu obveze za nabavljenu robu, obavljene usluge i izvršene radove, te utvrditi poziciju za isplatu iz Proračuna za sve isplate iz djelokruga rada svog upravnog odjela.</w:t>
      </w:r>
    </w:p>
    <w:p w14:paraId="1D1071B7" w14:textId="681F2770" w:rsidR="001242F4" w:rsidRDefault="001242F4" w:rsidP="001242F4">
      <w:pPr>
        <w:jc w:val="both"/>
      </w:pPr>
      <w:r>
        <w:t>Postupak nabave roba i usluga i ustupanje radova odvija se u skladu sa Zakonom o javnoj nabavi</w:t>
      </w:r>
      <w:r w:rsidR="0011502B">
        <w:t xml:space="preserve"> („Narodne novine“ br.</w:t>
      </w:r>
      <w:r w:rsidR="0011502B" w:rsidRPr="0011502B">
        <w:t xml:space="preserve"> 120/16</w:t>
      </w:r>
      <w:r w:rsidR="00832EFA">
        <w:t xml:space="preserve">, 144/22 </w:t>
      </w:r>
      <w:r w:rsidR="0011502B">
        <w:t>)</w:t>
      </w:r>
      <w:r>
        <w:t>.</w:t>
      </w:r>
    </w:p>
    <w:p w14:paraId="1AE73E31" w14:textId="77777777" w:rsidR="0011502B" w:rsidRDefault="0011502B" w:rsidP="001242F4">
      <w:pPr>
        <w:jc w:val="center"/>
      </w:pPr>
    </w:p>
    <w:p w14:paraId="3449A6EF" w14:textId="21CBB6E1" w:rsidR="000A3F17" w:rsidRDefault="000A3F17" w:rsidP="001242F4">
      <w:pPr>
        <w:jc w:val="center"/>
      </w:pPr>
    </w:p>
    <w:p w14:paraId="1F33A7B6" w14:textId="1BB5C005" w:rsidR="00832EFA" w:rsidRDefault="00832EFA" w:rsidP="001242F4">
      <w:pPr>
        <w:jc w:val="center"/>
      </w:pPr>
    </w:p>
    <w:p w14:paraId="26943D8F" w14:textId="77777777" w:rsidR="00832EFA" w:rsidRDefault="00832EFA" w:rsidP="001242F4">
      <w:pPr>
        <w:jc w:val="center"/>
      </w:pPr>
    </w:p>
    <w:p w14:paraId="0895DD18" w14:textId="77777777" w:rsidR="001242F4" w:rsidRDefault="001242F4" w:rsidP="001242F4">
      <w:pPr>
        <w:jc w:val="center"/>
      </w:pPr>
      <w:r>
        <w:lastRenderedPageBreak/>
        <w:t xml:space="preserve">Članak </w:t>
      </w:r>
      <w:r w:rsidR="00EC0B5A">
        <w:t>9</w:t>
      </w:r>
      <w:r>
        <w:t>.</w:t>
      </w:r>
    </w:p>
    <w:p w14:paraId="784F9305" w14:textId="75C1D924" w:rsidR="001242F4" w:rsidRDefault="001242F4" w:rsidP="001242F4">
      <w:pPr>
        <w:jc w:val="both"/>
      </w:pPr>
      <w:r>
        <w:t>Raspodjela sredstava udrugama za koje su sredstva planirana u ukupnom iznosu u Proračunu izvršavati će na temelju Pravilnika o financiranju javnih potreba Grada Valpova kroz utvrđene kriterije, mjerila i postupke za dodjelu i korištenje sredstava proračuna udrugama čije aktivnosti doprinose zadovoljenju javnih potreba i ispunjavanju ciljeva i prioriteta definiranih strateškim i planskim dokumentima Grada Valpova, sve usklađeno s odredbama Zakona o udrugama („Narodne novine“ br. 74/14</w:t>
      </w:r>
      <w:r w:rsidR="0011502B">
        <w:t>, 70/17, 98/19</w:t>
      </w:r>
      <w:r w:rsidR="00593920">
        <w:t>, 151/22</w:t>
      </w:r>
      <w:r>
        <w:t>).</w:t>
      </w:r>
    </w:p>
    <w:p w14:paraId="1FC81497" w14:textId="77777777" w:rsidR="001242F4" w:rsidRDefault="001242F4" w:rsidP="001242F4">
      <w:pPr>
        <w:jc w:val="center"/>
      </w:pPr>
      <w:r>
        <w:t>Članak 1</w:t>
      </w:r>
      <w:r w:rsidR="00EC0B5A">
        <w:t>0</w:t>
      </w:r>
      <w:r>
        <w:t>.</w:t>
      </w:r>
    </w:p>
    <w:p w14:paraId="59CA9C60" w14:textId="1A01A9A1" w:rsidR="001242F4" w:rsidRDefault="001242F4" w:rsidP="001242F4">
      <w:pPr>
        <w:jc w:val="both"/>
      </w:pPr>
      <w:r>
        <w:t>Korisnici proračunskih sredstava iz prethodne 20</w:t>
      </w:r>
      <w:r w:rsidR="00EC0B5A">
        <w:t>2</w:t>
      </w:r>
      <w:r w:rsidR="0040242A">
        <w:t>4</w:t>
      </w:r>
      <w:r>
        <w:t>. godine u obvezi su u 20</w:t>
      </w:r>
      <w:r w:rsidR="00E33825">
        <w:t>2</w:t>
      </w:r>
      <w:r w:rsidR="0040242A">
        <w:t>5</w:t>
      </w:r>
      <w:r>
        <w:t>. godini</w:t>
      </w:r>
      <w:r w:rsidR="00A14321">
        <w:t xml:space="preserve"> </w:t>
      </w:r>
      <w:r>
        <w:t>dostaviti financijska izvješća za 20</w:t>
      </w:r>
      <w:r w:rsidR="00EC0B5A">
        <w:t>2</w:t>
      </w:r>
      <w:r w:rsidR="0040242A">
        <w:t>4</w:t>
      </w:r>
      <w:r>
        <w:t>. godinu i traženu dokumentaciju Upravnom odjelu za</w:t>
      </w:r>
      <w:r w:rsidR="00A14321">
        <w:t xml:space="preserve"> </w:t>
      </w:r>
      <w:r>
        <w:t>gospodarstvo i društvene djelatnosti do 28. veljače tekuće godine na propisanim obrascima.</w:t>
      </w:r>
    </w:p>
    <w:p w14:paraId="4CDDFF91" w14:textId="77777777" w:rsidR="001242F4" w:rsidRDefault="001242F4" w:rsidP="001242F4">
      <w:pPr>
        <w:jc w:val="both"/>
      </w:pPr>
      <w:r>
        <w:t>Korisnicima proračunskih sredstava koji do roka iz st</w:t>
      </w:r>
      <w:r w:rsidR="006321DB">
        <w:t>avka</w:t>
      </w:r>
      <w:r>
        <w:t xml:space="preserve"> 1. ovog članka ne dostave</w:t>
      </w:r>
      <w:r w:rsidR="00A14321">
        <w:t xml:space="preserve"> </w:t>
      </w:r>
      <w:r>
        <w:t>spomenuta financijska izvješća, obustavit će se isplata odobrenih proračunskih sredstava do</w:t>
      </w:r>
      <w:r w:rsidR="00A14321">
        <w:t xml:space="preserve"> </w:t>
      </w:r>
      <w:r>
        <w:t>dostave izvješća.</w:t>
      </w:r>
    </w:p>
    <w:p w14:paraId="7BA23EB4" w14:textId="77777777" w:rsidR="001242F4" w:rsidRDefault="001242F4" w:rsidP="00A14321">
      <w:pPr>
        <w:jc w:val="center"/>
      </w:pPr>
      <w:r>
        <w:t>Članak 1</w:t>
      </w:r>
      <w:r w:rsidR="00EC0B5A">
        <w:t>1</w:t>
      </w:r>
      <w:r>
        <w:t>.</w:t>
      </w:r>
    </w:p>
    <w:p w14:paraId="1A4C8836" w14:textId="4E4C79E2" w:rsidR="001242F4" w:rsidRDefault="001242F4" w:rsidP="00A14321">
      <w:r>
        <w:t xml:space="preserve">Visina sredstava za proračunsku zalihu u Proračunu određuje se u iznosu od </w:t>
      </w:r>
      <w:r w:rsidR="00832EFA">
        <w:t>13</w:t>
      </w:r>
      <w:r>
        <w:t>.000,00</w:t>
      </w:r>
      <w:r w:rsidR="00A14321">
        <w:t xml:space="preserve"> </w:t>
      </w:r>
      <w:r w:rsidR="00832EFA">
        <w:t>EUR</w:t>
      </w:r>
      <w:r>
        <w:t>.</w:t>
      </w:r>
    </w:p>
    <w:p w14:paraId="05124D2C" w14:textId="2E0CCCCD" w:rsidR="001242F4" w:rsidRDefault="001242F4" w:rsidP="00A14321">
      <w:pPr>
        <w:jc w:val="both"/>
      </w:pPr>
      <w:r>
        <w:t>Sredstva proračunske zalihe</w:t>
      </w:r>
      <w:r w:rsidR="00832EFA">
        <w:t xml:space="preserve"> koriste se za financiranje rashoda nastalih pri otklanjanju posljedica elementarnih nepogoda, epidemija, ekoloških i ostalih nepredvidivih nesreća odnosno izvanrednih događaja tijekom godine.</w:t>
      </w:r>
    </w:p>
    <w:p w14:paraId="2A274463" w14:textId="77777777" w:rsidR="001242F4" w:rsidRDefault="001242F4" w:rsidP="00A14321">
      <w:pPr>
        <w:jc w:val="both"/>
      </w:pPr>
      <w:r>
        <w:t>O korištenju sredstava proračunske zalihe Proračuna odlučuje Gradonačelnik.</w:t>
      </w:r>
      <w:r w:rsidR="00A14321">
        <w:t xml:space="preserve"> </w:t>
      </w:r>
      <w:r>
        <w:t>O korištenju sredstava proračunske zalihe Gradonačelnik izvještava Gradsko vijeće</w:t>
      </w:r>
      <w:r w:rsidR="00A14321">
        <w:t xml:space="preserve"> </w:t>
      </w:r>
      <w:r>
        <w:t xml:space="preserve">prilikom podnošenja polugodišnjeg i </w:t>
      </w:r>
      <w:r w:rsidR="00A14321">
        <w:t>g</w:t>
      </w:r>
      <w:r>
        <w:t>odišnjeg izvještaja o izvršenju Proračuna</w:t>
      </w:r>
      <w:r w:rsidR="006F3061">
        <w:t>.</w:t>
      </w:r>
    </w:p>
    <w:p w14:paraId="3F7754AB" w14:textId="77777777" w:rsidR="001242F4" w:rsidRDefault="001242F4" w:rsidP="00A14321">
      <w:pPr>
        <w:jc w:val="center"/>
      </w:pPr>
      <w:r>
        <w:t>Članak 1</w:t>
      </w:r>
      <w:r w:rsidR="00EC0B5A">
        <w:t>2</w:t>
      </w:r>
      <w:r>
        <w:t>.</w:t>
      </w:r>
    </w:p>
    <w:p w14:paraId="5FF801A1" w14:textId="77777777" w:rsidR="00883445" w:rsidRDefault="001242F4" w:rsidP="001242F4">
      <w:pPr>
        <w:jc w:val="both"/>
      </w:pPr>
      <w:r>
        <w:t>Slobodna novčana sredstva Proračuna mogu se oročavati kod poslovnih banaka, pod</w:t>
      </w:r>
      <w:r w:rsidR="00A14321">
        <w:t xml:space="preserve"> </w:t>
      </w:r>
      <w:r>
        <w:t>uvjetom da to ne ometa redovito izvršavanje proračunskih izdataka i da se takvi financijski odnosi</w:t>
      </w:r>
      <w:r w:rsidR="00A14321">
        <w:t xml:space="preserve"> </w:t>
      </w:r>
      <w:r>
        <w:t>temelje na odlukama Gradonačelnika.</w:t>
      </w:r>
      <w:r w:rsidR="00A14321">
        <w:t xml:space="preserve"> </w:t>
      </w:r>
      <w:r>
        <w:t>Novčana sredstva iz stavka 1. ovog članka mogu se ulagati samo s povratom sredstava na</w:t>
      </w:r>
      <w:r w:rsidR="00A14321">
        <w:t xml:space="preserve"> </w:t>
      </w:r>
      <w:r>
        <w:t>žiro-račun Proračuna do kraja fiskalne godine.</w:t>
      </w:r>
    </w:p>
    <w:p w14:paraId="486371B4" w14:textId="77777777" w:rsidR="0011502B" w:rsidRPr="00AD7B46" w:rsidRDefault="0011502B" w:rsidP="00302EF4">
      <w:pPr>
        <w:jc w:val="center"/>
      </w:pPr>
      <w:r w:rsidRPr="00AD7B46">
        <w:t xml:space="preserve">Članak </w:t>
      </w:r>
      <w:r w:rsidR="000A3F17" w:rsidRPr="00AD7B46">
        <w:t>13.</w:t>
      </w:r>
    </w:p>
    <w:p w14:paraId="2A0DD5AB" w14:textId="77777777" w:rsidR="0011502B" w:rsidRDefault="0011502B" w:rsidP="0011502B">
      <w:pPr>
        <w:jc w:val="both"/>
      </w:pPr>
      <w:r w:rsidRPr="00AD7B46">
        <w:t>Gradonačelnik kao čelnik proračuna može otpisati potraživanja na temelju Zakona o proračunu, Općeg poreznog zakona i ostalih važećih zakona i odluka.</w:t>
      </w:r>
    </w:p>
    <w:p w14:paraId="6FCABB56" w14:textId="77777777" w:rsidR="00883445" w:rsidRDefault="00883445" w:rsidP="00302EF4">
      <w:pPr>
        <w:jc w:val="center"/>
      </w:pPr>
      <w:r>
        <w:t xml:space="preserve">Članak </w:t>
      </w:r>
      <w:r w:rsidR="007522AF">
        <w:t>1</w:t>
      </w:r>
      <w:r w:rsidR="000A3F17">
        <w:t>4</w:t>
      </w:r>
      <w:r>
        <w:t>.</w:t>
      </w:r>
    </w:p>
    <w:p w14:paraId="4F81D79D" w14:textId="77777777" w:rsidR="00302EF4" w:rsidRDefault="00883445" w:rsidP="00302EF4">
      <w:pPr>
        <w:jc w:val="both"/>
      </w:pPr>
      <w:r>
        <w:t>Plaćanje predujma može se ugovoriti samo u iznimnim slučajevima i na temelju prethodne</w:t>
      </w:r>
      <w:r w:rsidR="00302EF4">
        <w:t xml:space="preserve"> </w:t>
      </w:r>
      <w:r>
        <w:t>suglasnosti Gradonačelnika</w:t>
      </w:r>
      <w:r w:rsidR="00302EF4">
        <w:t xml:space="preserve">. </w:t>
      </w:r>
    </w:p>
    <w:p w14:paraId="4339882A" w14:textId="463903CF" w:rsidR="00883445" w:rsidRDefault="00302EF4" w:rsidP="00302EF4">
      <w:pPr>
        <w:jc w:val="both"/>
      </w:pPr>
      <w:r>
        <w:t>Iznimno</w:t>
      </w:r>
      <w:r w:rsidR="001C740A">
        <w:t>,</w:t>
      </w:r>
      <w:r>
        <w:t xml:space="preserve"> plaćanje predujma moguće je bez suglasnosti iz stavka 1.</w:t>
      </w:r>
      <w:r w:rsidR="006F3061">
        <w:t xml:space="preserve"> </w:t>
      </w:r>
      <w:r>
        <w:t xml:space="preserve">ovog Članka do iznosa od </w:t>
      </w:r>
      <w:r w:rsidR="00832EFA">
        <w:t>1.5</w:t>
      </w:r>
      <w:r>
        <w:t xml:space="preserve">00,00 </w:t>
      </w:r>
      <w:r w:rsidR="00832EFA">
        <w:t>EUR</w:t>
      </w:r>
      <w:r>
        <w:t xml:space="preserve"> te za obveze preuzete po ugovorima za projekte koji se sufinanciraju iz sredstava Europske unije</w:t>
      </w:r>
      <w:r w:rsidR="00883445">
        <w:t>.</w:t>
      </w:r>
    </w:p>
    <w:p w14:paraId="11297CD7" w14:textId="77777777" w:rsidR="00883445" w:rsidRDefault="00883445" w:rsidP="00302EF4">
      <w:pPr>
        <w:jc w:val="center"/>
      </w:pPr>
      <w:r>
        <w:t xml:space="preserve">Članak </w:t>
      </w:r>
      <w:r w:rsidR="000A3F17">
        <w:t>15</w:t>
      </w:r>
      <w:r>
        <w:t>.</w:t>
      </w:r>
    </w:p>
    <w:p w14:paraId="7FA705D0" w14:textId="77777777" w:rsidR="00883445" w:rsidRDefault="00883445" w:rsidP="000278F5">
      <w:pPr>
        <w:jc w:val="both"/>
      </w:pPr>
      <w:r>
        <w:t>Pogrešno, ili više uplaćeni prihodi u Proračunu, vraćaju se uplatiteljima na teret tih prihoda,</w:t>
      </w:r>
      <w:r w:rsidR="00302EF4">
        <w:t xml:space="preserve"> </w:t>
      </w:r>
      <w:r>
        <w:t>a na temelju rješenja tijela nadležnog za naplatu odnosnih prihoda</w:t>
      </w:r>
      <w:r w:rsidR="00302EF4">
        <w:t>.</w:t>
      </w:r>
    </w:p>
    <w:p w14:paraId="4597083B" w14:textId="77777777" w:rsidR="00AD7B46" w:rsidRDefault="00AD7B46" w:rsidP="000278F5">
      <w:pPr>
        <w:jc w:val="center"/>
      </w:pPr>
    </w:p>
    <w:p w14:paraId="4E238916" w14:textId="77777777" w:rsidR="00883445" w:rsidRDefault="00883445" w:rsidP="000278F5">
      <w:pPr>
        <w:jc w:val="center"/>
      </w:pPr>
      <w:r>
        <w:lastRenderedPageBreak/>
        <w:t xml:space="preserve">Članak </w:t>
      </w:r>
      <w:r w:rsidR="000A3F17">
        <w:t>16</w:t>
      </w:r>
      <w:r>
        <w:t>.</w:t>
      </w:r>
    </w:p>
    <w:p w14:paraId="444F0009" w14:textId="66373317" w:rsidR="00883445" w:rsidRPr="002E00B0" w:rsidRDefault="00883445" w:rsidP="009F1D19">
      <w:pPr>
        <w:jc w:val="both"/>
        <w:rPr>
          <w:rFonts w:cstheme="minorHAnsi"/>
        </w:rPr>
      </w:pPr>
      <w:r w:rsidRPr="002E00B0">
        <w:rPr>
          <w:rFonts w:cstheme="minorHAnsi"/>
        </w:rPr>
        <w:t>Financijske obveze koje ne budu podmirene do 31. prosinca 20</w:t>
      </w:r>
      <w:r w:rsidR="007522AF" w:rsidRPr="002E00B0">
        <w:rPr>
          <w:rFonts w:cstheme="minorHAnsi"/>
        </w:rPr>
        <w:t>2</w:t>
      </w:r>
      <w:r w:rsidR="0040242A">
        <w:rPr>
          <w:rFonts w:cstheme="minorHAnsi"/>
        </w:rPr>
        <w:t>4</w:t>
      </w:r>
      <w:r w:rsidRPr="002E00B0">
        <w:rPr>
          <w:rFonts w:cstheme="minorHAnsi"/>
        </w:rPr>
        <w:t>. godine, podmirit</w:t>
      </w:r>
      <w:r w:rsidR="009F1D19">
        <w:rPr>
          <w:rFonts w:cstheme="minorHAnsi"/>
        </w:rPr>
        <w:t>i</w:t>
      </w:r>
      <w:r w:rsidRPr="002E00B0">
        <w:rPr>
          <w:rFonts w:cstheme="minorHAnsi"/>
        </w:rPr>
        <w:t xml:space="preserve"> će se</w:t>
      </w:r>
      <w:r w:rsidR="00302EF4" w:rsidRPr="002E00B0">
        <w:rPr>
          <w:rFonts w:cstheme="minorHAnsi"/>
        </w:rPr>
        <w:t xml:space="preserve"> </w:t>
      </w:r>
      <w:r w:rsidRPr="002E00B0">
        <w:rPr>
          <w:rFonts w:cstheme="minorHAnsi"/>
        </w:rPr>
        <w:t>iz namjenski odob</w:t>
      </w:r>
      <w:r w:rsidR="00E33825" w:rsidRPr="002E00B0">
        <w:rPr>
          <w:rFonts w:cstheme="minorHAnsi"/>
        </w:rPr>
        <w:t>renih sredstava Proračuna za 202</w:t>
      </w:r>
      <w:r w:rsidR="0040242A">
        <w:rPr>
          <w:rFonts w:cstheme="minorHAnsi"/>
        </w:rPr>
        <w:t>5</w:t>
      </w:r>
      <w:r w:rsidRPr="002E00B0">
        <w:rPr>
          <w:rFonts w:cstheme="minorHAnsi"/>
        </w:rPr>
        <w:t>. godinu.</w:t>
      </w:r>
    </w:p>
    <w:p w14:paraId="14360B66" w14:textId="16636242" w:rsidR="0040242A" w:rsidRDefault="0040242A" w:rsidP="0040242A">
      <w:pPr>
        <w:jc w:val="both"/>
        <w:rPr>
          <w:rFonts w:cstheme="minorHAnsi"/>
        </w:rPr>
      </w:pPr>
      <w:r w:rsidRPr="0040242A">
        <w:rPr>
          <w:rFonts w:cstheme="minorHAnsi"/>
        </w:rPr>
        <w:t>Grad se može kratkoročno zadužiti najduže do 12 mjeseci isključivo za premošćivanje jaza</w:t>
      </w:r>
      <w:r>
        <w:rPr>
          <w:rFonts w:cstheme="minorHAnsi"/>
        </w:rPr>
        <w:t xml:space="preserve"> </w:t>
      </w:r>
      <w:r w:rsidRPr="0040242A">
        <w:rPr>
          <w:rFonts w:cstheme="minorHAnsi"/>
        </w:rPr>
        <w:t xml:space="preserve">nastalog zbog različite dinamike priljeva sredstava i dospijeća obveza, u </w:t>
      </w:r>
      <w:r w:rsidR="009F1D19">
        <w:rPr>
          <w:rFonts w:cstheme="minorHAnsi"/>
        </w:rPr>
        <w:t>skladu</w:t>
      </w:r>
      <w:r w:rsidRPr="0040242A">
        <w:rPr>
          <w:rFonts w:cstheme="minorHAnsi"/>
        </w:rPr>
        <w:t xml:space="preserve"> sa Zakonom o</w:t>
      </w:r>
      <w:r>
        <w:rPr>
          <w:rFonts w:cstheme="minorHAnsi"/>
        </w:rPr>
        <w:t xml:space="preserve"> </w:t>
      </w:r>
      <w:r w:rsidRPr="0040242A">
        <w:rPr>
          <w:rFonts w:cstheme="minorHAnsi"/>
        </w:rPr>
        <w:t>proračunu.</w:t>
      </w:r>
      <w:r w:rsidRPr="0040242A">
        <w:rPr>
          <w:rFonts w:cstheme="minorHAnsi"/>
        </w:rPr>
        <w:t xml:space="preserve"> </w:t>
      </w:r>
    </w:p>
    <w:p w14:paraId="362BCF05" w14:textId="650BE3FB" w:rsidR="00883445" w:rsidRDefault="00883445" w:rsidP="0040242A">
      <w:pPr>
        <w:jc w:val="center"/>
      </w:pPr>
      <w:r>
        <w:t xml:space="preserve">Članak </w:t>
      </w:r>
      <w:r w:rsidR="000A3F17">
        <w:t>17</w:t>
      </w:r>
      <w:r>
        <w:t>.</w:t>
      </w:r>
    </w:p>
    <w:p w14:paraId="49B1CA38" w14:textId="7BF88BAA" w:rsidR="000A521C" w:rsidRPr="00B06D72" w:rsidRDefault="00883445" w:rsidP="000A521C">
      <w:pPr>
        <w:spacing w:line="276" w:lineRule="auto"/>
        <w:jc w:val="both"/>
        <w:rPr>
          <w:color w:val="FF0000"/>
        </w:rPr>
      </w:pPr>
      <w:r>
        <w:t>Grad se u Proračunu za 20</w:t>
      </w:r>
      <w:r w:rsidR="007C7992">
        <w:t>2</w:t>
      </w:r>
      <w:r w:rsidR="0040242A">
        <w:t>5</w:t>
      </w:r>
      <w:r>
        <w:t xml:space="preserve">. godinu planira dugoročno zadužiti kod banaka u iznosu do </w:t>
      </w:r>
      <w:r w:rsidR="0040242A">
        <w:rPr>
          <w:rFonts w:cs="Times New Roman"/>
        </w:rPr>
        <w:t>3.993</w:t>
      </w:r>
      <w:r w:rsidR="0062750B" w:rsidRPr="008044D3">
        <w:rPr>
          <w:rFonts w:cs="Times New Roman"/>
        </w:rPr>
        <w:t>.600,00</w:t>
      </w:r>
      <w:r w:rsidR="00832EFA" w:rsidRPr="00832EFA">
        <w:t xml:space="preserve"> EUR</w:t>
      </w:r>
      <w:r w:rsidRPr="008D17D9">
        <w:t>.</w:t>
      </w:r>
      <w:r w:rsidR="000A521C" w:rsidRPr="008D17D9">
        <w:t xml:space="preserve"> </w:t>
      </w:r>
      <w:r w:rsidR="0011502B">
        <w:t>Ukupni iznos dugoročnog duga prema bankama na kraju 202</w:t>
      </w:r>
      <w:r w:rsidR="0040242A">
        <w:t>5</w:t>
      </w:r>
      <w:r w:rsidR="0011502B">
        <w:t xml:space="preserve">. planiran je u iznosu od </w:t>
      </w:r>
      <w:r w:rsidR="00A15054">
        <w:t>8</w:t>
      </w:r>
      <w:r w:rsidR="00EF19AC">
        <w:t>.</w:t>
      </w:r>
      <w:r w:rsidR="00A15054">
        <w:t>425</w:t>
      </w:r>
      <w:r w:rsidR="00EF19AC">
        <w:t>.000,00</w:t>
      </w:r>
      <w:r w:rsidR="00832EFA">
        <w:t xml:space="preserve"> EUR</w:t>
      </w:r>
      <w:r w:rsidR="00037A39">
        <w:t>.</w:t>
      </w:r>
    </w:p>
    <w:p w14:paraId="44A797F1" w14:textId="77777777" w:rsidR="00883445" w:rsidRDefault="00883445" w:rsidP="000A521C">
      <w:pPr>
        <w:spacing w:line="276" w:lineRule="auto"/>
        <w:jc w:val="both"/>
      </w:pPr>
      <w:r>
        <w:t>Odluke o zaduživanju donosi Gradsko vijeće.</w:t>
      </w:r>
      <w:r w:rsidR="00F677C4">
        <w:t xml:space="preserve"> </w:t>
      </w:r>
      <w:r>
        <w:t xml:space="preserve">Ugovore o dugoročnom zaduživanju sklapa </w:t>
      </w:r>
      <w:r w:rsidR="000A521C">
        <w:t>G</w:t>
      </w:r>
      <w:r>
        <w:t>radonačelnik na temelju donesenog</w:t>
      </w:r>
      <w:r w:rsidR="00F677C4">
        <w:t xml:space="preserve"> </w:t>
      </w:r>
      <w:r>
        <w:t xml:space="preserve">Proračuna, uz prethodnu suglasnost </w:t>
      </w:r>
      <w:r w:rsidR="00B06D72">
        <w:t xml:space="preserve">Ministarstva financija ili </w:t>
      </w:r>
      <w:r>
        <w:t>Vlade Republike Hrvatske.</w:t>
      </w:r>
    </w:p>
    <w:p w14:paraId="6C7CCAF8" w14:textId="77777777" w:rsidR="00F677C4" w:rsidRDefault="00883445" w:rsidP="000A521C">
      <w:pPr>
        <w:spacing w:line="276" w:lineRule="auto"/>
        <w:jc w:val="both"/>
      </w:pPr>
      <w:r>
        <w:t>Grad Valpovo može se dugoročno zadužiti do ukupne svote predviđene Proračunom u</w:t>
      </w:r>
      <w:r w:rsidR="00F677C4">
        <w:t xml:space="preserve"> </w:t>
      </w:r>
      <w:r>
        <w:t xml:space="preserve">skladu s </w:t>
      </w:r>
      <w:r w:rsidR="000A521C">
        <w:t>v</w:t>
      </w:r>
      <w:r>
        <w:t>ažećim odredbama Zakona o proračunu i Pravilnika o postupku zaduživanja te davanja</w:t>
      </w:r>
      <w:r w:rsidR="00F677C4">
        <w:t xml:space="preserve"> </w:t>
      </w:r>
      <w:r>
        <w:t>jamstava i suglasnosti jedinica lokalne i područne (regionalne) samouprave koje propisuju uvjete</w:t>
      </w:r>
      <w:r w:rsidR="00F677C4">
        <w:t xml:space="preserve"> </w:t>
      </w:r>
      <w:r>
        <w:t xml:space="preserve">zaduživanja jedinica lokalne i područne (regionalne) </w:t>
      </w:r>
      <w:r w:rsidRPr="00832EFA">
        <w:t>samouprave.</w:t>
      </w:r>
    </w:p>
    <w:p w14:paraId="0A8384CF" w14:textId="77777777" w:rsidR="00883445" w:rsidRDefault="00883445" w:rsidP="00F677C4">
      <w:pPr>
        <w:jc w:val="center"/>
      </w:pPr>
      <w:r>
        <w:t xml:space="preserve">Članak </w:t>
      </w:r>
      <w:r w:rsidR="000A3F17">
        <w:t>18</w:t>
      </w:r>
      <w:r>
        <w:t>.</w:t>
      </w:r>
    </w:p>
    <w:p w14:paraId="728A9E49" w14:textId="77777777" w:rsidR="00C63769" w:rsidRDefault="00883445" w:rsidP="000A521C">
      <w:pPr>
        <w:jc w:val="both"/>
      </w:pPr>
      <w:r>
        <w:t>Nefinancijskom dugotrajnom imovinom upravlja Gradonačelnik, tijela gradske uprave, te</w:t>
      </w:r>
      <w:r w:rsidR="000A521C">
        <w:t xml:space="preserve"> </w:t>
      </w:r>
      <w:r>
        <w:t>pravne osobe (ustanove i trgovačka društva) kojih je Grad osnivač.</w:t>
      </w:r>
      <w:r w:rsidR="000A521C">
        <w:t xml:space="preserve"> </w:t>
      </w:r>
    </w:p>
    <w:p w14:paraId="4AE7535A" w14:textId="77777777" w:rsidR="00883445" w:rsidRDefault="00883445" w:rsidP="000A521C">
      <w:pPr>
        <w:jc w:val="both"/>
      </w:pPr>
      <w:r>
        <w:t>Upravljanje imovinom iz stavka 1. ovog članka podrazumijeva njezino korištenje,</w:t>
      </w:r>
      <w:r w:rsidR="000A521C">
        <w:t xml:space="preserve"> </w:t>
      </w:r>
      <w:r>
        <w:t>održavanje i davanje u zakup, te vođenje popisa imovine u skladu sa zakonom.</w:t>
      </w:r>
    </w:p>
    <w:p w14:paraId="27756EDA" w14:textId="77777777" w:rsidR="00883445" w:rsidRDefault="00883445" w:rsidP="000A521C">
      <w:pPr>
        <w:jc w:val="both"/>
      </w:pPr>
      <w:r>
        <w:t>Nakon završetka postupka investiranja, izvršena ulaganja u objekte i opremu namijenjene</w:t>
      </w:r>
      <w:r w:rsidR="000A521C">
        <w:t xml:space="preserve"> </w:t>
      </w:r>
      <w:r>
        <w:t>pravnim osobama za koja se ocijeni da su od značaja za Grad Valpovo, odlukom Gradskog vijeća</w:t>
      </w:r>
      <w:r w:rsidR="000A521C">
        <w:t xml:space="preserve"> </w:t>
      </w:r>
      <w:r>
        <w:t>prenijet će se u vlasništvo tim pravnim osobama.</w:t>
      </w:r>
    </w:p>
    <w:p w14:paraId="5F2A5BCA" w14:textId="77777777" w:rsidR="00883445" w:rsidRDefault="00883445" w:rsidP="000A521C">
      <w:pPr>
        <w:jc w:val="center"/>
      </w:pPr>
      <w:r>
        <w:t xml:space="preserve">Članak </w:t>
      </w:r>
      <w:r w:rsidR="000A3F17">
        <w:t>19</w:t>
      </w:r>
      <w:r>
        <w:t>.</w:t>
      </w:r>
    </w:p>
    <w:p w14:paraId="77102FDE" w14:textId="77777777" w:rsidR="00883445" w:rsidRDefault="00883445" w:rsidP="000A521C">
      <w:pPr>
        <w:jc w:val="both"/>
      </w:pPr>
      <w:r>
        <w:t>Grad Valpovo može davati jamstva trgovačkim društvima u vlasništvu, ili pretežitom</w:t>
      </w:r>
      <w:r w:rsidR="000A521C">
        <w:t xml:space="preserve"> </w:t>
      </w:r>
      <w:r>
        <w:t>vlasništvu Grada i ustanovama koje je osnovao do zakonom utvrđenog opsega</w:t>
      </w:r>
      <w:r w:rsidR="00F57D42">
        <w:t xml:space="preserve"> i uz zakonom predviđene suglasnosti</w:t>
      </w:r>
      <w:r>
        <w:t>.</w:t>
      </w:r>
      <w:r w:rsidR="000A521C">
        <w:t xml:space="preserve"> </w:t>
      </w:r>
      <w:r>
        <w:t>Odluku o davanju jamstva donosi Gradsko vijeće.</w:t>
      </w:r>
    </w:p>
    <w:p w14:paraId="43094F89" w14:textId="77777777" w:rsidR="00883445" w:rsidRDefault="00883445" w:rsidP="000A521C">
      <w:pPr>
        <w:jc w:val="center"/>
      </w:pPr>
      <w:r>
        <w:t>Članak 2</w:t>
      </w:r>
      <w:r w:rsidR="000A3F17">
        <w:t>0</w:t>
      </w:r>
      <w:r>
        <w:t>.</w:t>
      </w:r>
    </w:p>
    <w:p w14:paraId="573D0639" w14:textId="77777777" w:rsidR="00883445" w:rsidRDefault="00883445" w:rsidP="000A521C">
      <w:pPr>
        <w:jc w:val="both"/>
      </w:pPr>
      <w:r>
        <w:t>Javne ustanove – proračunski korisnici, trgovačka društva u vlasništvu ili u pretežitom</w:t>
      </w:r>
      <w:r w:rsidR="000A521C">
        <w:t xml:space="preserve"> </w:t>
      </w:r>
      <w:r>
        <w:t>vlasništvu Grada, ne mogu se zaduživati ili davati jamstva, bez prethodne suglasnosti Gradskog</w:t>
      </w:r>
      <w:r w:rsidR="000A521C">
        <w:t xml:space="preserve"> </w:t>
      </w:r>
      <w:r>
        <w:t>vijeća.</w:t>
      </w:r>
    </w:p>
    <w:p w14:paraId="5B248F2C" w14:textId="77777777" w:rsidR="000A3F17" w:rsidRDefault="000A3F17" w:rsidP="000A521C">
      <w:pPr>
        <w:jc w:val="center"/>
      </w:pPr>
    </w:p>
    <w:p w14:paraId="24957C5A" w14:textId="77777777" w:rsidR="00883445" w:rsidRDefault="00883445" w:rsidP="000A521C">
      <w:pPr>
        <w:jc w:val="center"/>
      </w:pPr>
      <w:r>
        <w:t xml:space="preserve">Članak </w:t>
      </w:r>
      <w:r w:rsidR="000A3F17">
        <w:t>21</w:t>
      </w:r>
      <w:r>
        <w:t>.</w:t>
      </w:r>
    </w:p>
    <w:p w14:paraId="15D05BB8" w14:textId="77777777" w:rsidR="00883445" w:rsidRDefault="00883445" w:rsidP="000A521C">
      <w:pPr>
        <w:jc w:val="both"/>
      </w:pPr>
      <w:r>
        <w:t xml:space="preserve">Proračunski korisnici obvezni su izraditi i dostaviti </w:t>
      </w:r>
      <w:r w:rsidR="001120F0">
        <w:t xml:space="preserve">Službi za financije i proračun Grada </w:t>
      </w:r>
      <w:r>
        <w:t>mjesečne, tromjesečne, polugodišnje i</w:t>
      </w:r>
      <w:r w:rsidR="000A521C">
        <w:t xml:space="preserve"> </w:t>
      </w:r>
      <w:r>
        <w:t>godišnje financijske izvještaje u skladu s Pravilnikom o financijskom izvještavanju u</w:t>
      </w:r>
      <w:r w:rsidR="000A521C">
        <w:t xml:space="preserve"> </w:t>
      </w:r>
      <w:r>
        <w:t>proračunskom računovodstvu.</w:t>
      </w:r>
    </w:p>
    <w:p w14:paraId="0F71BB74" w14:textId="77777777" w:rsidR="00A15054" w:rsidRDefault="00A15054" w:rsidP="000A521C">
      <w:pPr>
        <w:jc w:val="center"/>
      </w:pPr>
    </w:p>
    <w:p w14:paraId="755B5F35" w14:textId="159EFD8D" w:rsidR="00883445" w:rsidRDefault="00883445" w:rsidP="000A521C">
      <w:pPr>
        <w:jc w:val="center"/>
      </w:pPr>
      <w:r>
        <w:lastRenderedPageBreak/>
        <w:t>Članak 2</w:t>
      </w:r>
      <w:r w:rsidR="000A3F17">
        <w:t>2</w:t>
      </w:r>
      <w:r>
        <w:t>.</w:t>
      </w:r>
    </w:p>
    <w:p w14:paraId="4D606B64" w14:textId="77777777" w:rsidR="00883445" w:rsidRDefault="00883445" w:rsidP="005E2E9F">
      <w:pPr>
        <w:jc w:val="both"/>
      </w:pPr>
      <w:r>
        <w:t>Služba za financije i proračun Grada i nadležni upravni odjel imaju pravo nadzora nad</w:t>
      </w:r>
      <w:r w:rsidR="000A521C">
        <w:t xml:space="preserve"> </w:t>
      </w:r>
      <w:r>
        <w:t>financijskim, materijalnim i računovodstvenim poslovanjem korisnika, te nad zakonitošću i</w:t>
      </w:r>
      <w:r w:rsidR="000A521C">
        <w:t xml:space="preserve"> </w:t>
      </w:r>
      <w:r>
        <w:t>svrsishodnošću uporabe proračunskih sredstava.</w:t>
      </w:r>
      <w:r w:rsidR="000A521C">
        <w:t xml:space="preserve"> </w:t>
      </w:r>
      <w:r>
        <w:t>Proračunski nadzor poslovanja proračunskih korisnika obavlja se izravnim nadzorom kod</w:t>
      </w:r>
      <w:r w:rsidR="000A521C">
        <w:t xml:space="preserve"> </w:t>
      </w:r>
      <w:r>
        <w:t>proračunskog korisnika i analizom njegovih financijskih izvještaja.</w:t>
      </w:r>
      <w:r w:rsidR="000A521C">
        <w:t xml:space="preserve"> </w:t>
      </w:r>
      <w:r>
        <w:t>Ako se prilikom vršenja nadzora utvrdi da su sredstva bila upotrijebljena protivno Zakonu</w:t>
      </w:r>
      <w:r w:rsidR="000A521C">
        <w:t xml:space="preserve"> </w:t>
      </w:r>
      <w:r>
        <w:t>i Proračunu, izvijestit</w:t>
      </w:r>
      <w:r w:rsidR="00C546A5">
        <w:t>i</w:t>
      </w:r>
      <w:r>
        <w:t xml:space="preserve"> će se Gradonačelnika i poduzeti mjere da se nadoknade tako utrošena</w:t>
      </w:r>
      <w:r w:rsidR="000A521C">
        <w:t xml:space="preserve"> </w:t>
      </w:r>
      <w:r>
        <w:t>sredstva, ili će se obustaviti isplata sredstava s pozicija s kojih su sredstva bila nenamjenski</w:t>
      </w:r>
      <w:r w:rsidR="000A521C">
        <w:t xml:space="preserve"> </w:t>
      </w:r>
      <w:r>
        <w:t>utrošena.</w:t>
      </w:r>
    </w:p>
    <w:p w14:paraId="0704ADFA" w14:textId="1916497A" w:rsidR="00883445" w:rsidRDefault="002E00B0" w:rsidP="000A521C">
      <w:pPr>
        <w:jc w:val="center"/>
      </w:pPr>
      <w:r>
        <w:t>III</w:t>
      </w:r>
      <w:r w:rsidR="00883445">
        <w:t xml:space="preserve"> ZAVRŠNE ODREDBE</w:t>
      </w:r>
    </w:p>
    <w:p w14:paraId="599310B5" w14:textId="77777777" w:rsidR="00883445" w:rsidRDefault="00883445" w:rsidP="000A521C">
      <w:pPr>
        <w:jc w:val="center"/>
      </w:pPr>
      <w:r>
        <w:t xml:space="preserve">Članak </w:t>
      </w:r>
      <w:r w:rsidR="00EA45C0">
        <w:t>2</w:t>
      </w:r>
      <w:r w:rsidR="000A3F17">
        <w:t>3</w:t>
      </w:r>
      <w:r>
        <w:t>.</w:t>
      </w:r>
    </w:p>
    <w:p w14:paraId="79F4D521" w14:textId="77777777" w:rsidR="00883445" w:rsidRDefault="00883445" w:rsidP="00C301D3">
      <w:pPr>
        <w:jc w:val="both"/>
      </w:pPr>
      <w:r>
        <w:t>Ova Odluka</w:t>
      </w:r>
      <w:r w:rsidR="003A7020">
        <w:t xml:space="preserve"> ima se objaviti u „Službenom glasniku Grada Valpova“, a </w:t>
      </w:r>
      <w:r>
        <w:t xml:space="preserve">stupa na snagu danom </w:t>
      </w:r>
      <w:r w:rsidR="003A7020">
        <w:t>koji slijedi dan objave.</w:t>
      </w:r>
    </w:p>
    <w:p w14:paraId="40A149FA" w14:textId="77777777" w:rsidR="00883445" w:rsidRDefault="00883445" w:rsidP="005E2E9F">
      <w:pPr>
        <w:jc w:val="center"/>
      </w:pPr>
      <w:r>
        <w:t>GRADSKO VIJEĆE GRADA VALPOVA</w:t>
      </w:r>
    </w:p>
    <w:p w14:paraId="069FC062" w14:textId="77777777" w:rsidR="005E2E9F" w:rsidRDefault="005E2E9F" w:rsidP="00883445"/>
    <w:p w14:paraId="39A42ACC" w14:textId="77777777" w:rsidR="00883445" w:rsidRDefault="00883445" w:rsidP="00883445">
      <w:r>
        <w:t xml:space="preserve">KLASA: </w:t>
      </w:r>
      <w:r w:rsidR="005E2E9F">
        <w:t>____________</w:t>
      </w:r>
    </w:p>
    <w:p w14:paraId="6A0A9A9D" w14:textId="77777777" w:rsidR="005E2E9F" w:rsidRDefault="00883445" w:rsidP="00883445">
      <w:r>
        <w:t xml:space="preserve">URBROJ: </w:t>
      </w:r>
      <w:r w:rsidR="005E2E9F">
        <w:t>____________</w:t>
      </w:r>
      <w:r>
        <w:t xml:space="preserve"> </w:t>
      </w:r>
    </w:p>
    <w:p w14:paraId="33DA7651" w14:textId="77777777" w:rsidR="00883445" w:rsidRDefault="00883445" w:rsidP="005E2E9F">
      <w:pPr>
        <w:ind w:left="4956" w:firstLine="708"/>
      </w:pPr>
      <w:r>
        <w:t>Predsjednik Gradskog vijeća:</w:t>
      </w:r>
    </w:p>
    <w:p w14:paraId="5EF9CFE0" w14:textId="77777777" w:rsidR="00C301D3" w:rsidRDefault="00C301D3" w:rsidP="005E2E9F">
      <w:pPr>
        <w:ind w:left="4956" w:firstLine="708"/>
      </w:pPr>
      <w:r>
        <w:t>Igor Uranjek</w:t>
      </w:r>
    </w:p>
    <w:p w14:paraId="30A8A509" w14:textId="61B5C6F8" w:rsidR="00883445" w:rsidRDefault="00883445" w:rsidP="00883445">
      <w:r>
        <w:t xml:space="preserve">Valpovo, </w:t>
      </w:r>
      <w:r w:rsidR="005E2E9F">
        <w:t>__</w:t>
      </w:r>
      <w:r>
        <w:t xml:space="preserve"> </w:t>
      </w:r>
      <w:r w:rsidR="00A15054">
        <w:t>prosinca</w:t>
      </w:r>
      <w:r>
        <w:t xml:space="preserve"> 20</w:t>
      </w:r>
      <w:r w:rsidR="008B5305">
        <w:t>2</w:t>
      </w:r>
      <w:r w:rsidR="00A15054">
        <w:t>4</w:t>
      </w:r>
      <w:r w:rsidR="005E2E9F">
        <w:t>.</w:t>
      </w:r>
      <w:r>
        <w:t xml:space="preserve"> godine </w:t>
      </w:r>
      <w:r w:rsidR="005E2E9F">
        <w:tab/>
      </w:r>
      <w:r w:rsidR="005E2E9F">
        <w:tab/>
      </w:r>
      <w:r w:rsidR="005E2E9F">
        <w:tab/>
      </w:r>
      <w:r w:rsidR="005E2E9F">
        <w:tab/>
        <w:t xml:space="preserve">     </w:t>
      </w:r>
    </w:p>
    <w:sectPr w:rsidR="0088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5"/>
    <w:rsid w:val="000234C4"/>
    <w:rsid w:val="000278F5"/>
    <w:rsid w:val="00037A39"/>
    <w:rsid w:val="000A3F17"/>
    <w:rsid w:val="000A521C"/>
    <w:rsid w:val="001120F0"/>
    <w:rsid w:val="0011502B"/>
    <w:rsid w:val="001242F4"/>
    <w:rsid w:val="001C6213"/>
    <w:rsid w:val="001C740A"/>
    <w:rsid w:val="001D1190"/>
    <w:rsid w:val="00232879"/>
    <w:rsid w:val="002B0635"/>
    <w:rsid w:val="002E00B0"/>
    <w:rsid w:val="00302EF4"/>
    <w:rsid w:val="00391B55"/>
    <w:rsid w:val="003A5E6A"/>
    <w:rsid w:val="003A7020"/>
    <w:rsid w:val="0040242A"/>
    <w:rsid w:val="004329F4"/>
    <w:rsid w:val="004656A7"/>
    <w:rsid w:val="00525E86"/>
    <w:rsid w:val="00593920"/>
    <w:rsid w:val="005A39C3"/>
    <w:rsid w:val="005B3E09"/>
    <w:rsid w:val="005E2E9F"/>
    <w:rsid w:val="0062750B"/>
    <w:rsid w:val="006321DB"/>
    <w:rsid w:val="006F3061"/>
    <w:rsid w:val="00736E1C"/>
    <w:rsid w:val="007522AF"/>
    <w:rsid w:val="007A55F5"/>
    <w:rsid w:val="007C7992"/>
    <w:rsid w:val="00832EFA"/>
    <w:rsid w:val="008801D0"/>
    <w:rsid w:val="00883445"/>
    <w:rsid w:val="00896A9F"/>
    <w:rsid w:val="008B5305"/>
    <w:rsid w:val="008D17D9"/>
    <w:rsid w:val="00960810"/>
    <w:rsid w:val="009F1D19"/>
    <w:rsid w:val="00A14321"/>
    <w:rsid w:val="00A15054"/>
    <w:rsid w:val="00AD7B46"/>
    <w:rsid w:val="00B03AB7"/>
    <w:rsid w:val="00B06D72"/>
    <w:rsid w:val="00B350FB"/>
    <w:rsid w:val="00BD0773"/>
    <w:rsid w:val="00C0669B"/>
    <w:rsid w:val="00C301D3"/>
    <w:rsid w:val="00C325BE"/>
    <w:rsid w:val="00C546A5"/>
    <w:rsid w:val="00C63769"/>
    <w:rsid w:val="00C70233"/>
    <w:rsid w:val="00C74A15"/>
    <w:rsid w:val="00C94B4B"/>
    <w:rsid w:val="00E33825"/>
    <w:rsid w:val="00E55B6B"/>
    <w:rsid w:val="00EA45C0"/>
    <w:rsid w:val="00EB6F13"/>
    <w:rsid w:val="00EC0B5A"/>
    <w:rsid w:val="00EF19AC"/>
    <w:rsid w:val="00F44B4C"/>
    <w:rsid w:val="00F52D8B"/>
    <w:rsid w:val="00F57D42"/>
    <w:rsid w:val="00F677C4"/>
    <w:rsid w:val="00F7063B"/>
    <w:rsid w:val="00F743E8"/>
    <w:rsid w:val="00F846A1"/>
    <w:rsid w:val="00FC07B2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051B"/>
  <w15:docId w15:val="{81865E2A-199B-4525-88BC-DDA6B58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Vazdar</dc:creator>
  <cp:lastModifiedBy>Oliver Vazdar</cp:lastModifiedBy>
  <cp:revision>3</cp:revision>
  <cp:lastPrinted>2022-12-12T09:40:00Z</cp:lastPrinted>
  <dcterms:created xsi:type="dcterms:W3CDTF">2024-11-26T15:16:00Z</dcterms:created>
  <dcterms:modified xsi:type="dcterms:W3CDTF">2024-11-27T10:07:00Z</dcterms:modified>
</cp:coreProperties>
</file>